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2512" w:rsidRDefault="000B2512" w:rsidP="007C782E">
      <w:pPr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>Assignment 2 A</w:t>
      </w:r>
    </w:p>
    <w:p w:rsidR="007E6F0C" w:rsidRDefault="007E6F0C" w:rsidP="007C7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Hair, skin, </w:t>
      </w:r>
      <w:proofErr w:type="gramStart"/>
      <w:r>
        <w:rPr>
          <w:rFonts w:ascii="Arial" w:hAnsi="Arial" w:cs="Arial"/>
          <w:b/>
          <w:sz w:val="24"/>
          <w:szCs w:val="24"/>
        </w:rPr>
        <w:t>nails</w:t>
      </w:r>
      <w:r w:rsidR="003E6EE5">
        <w:rPr>
          <w:rFonts w:ascii="Arial" w:hAnsi="Arial" w:cs="Arial"/>
          <w:b/>
          <w:sz w:val="24"/>
          <w:szCs w:val="24"/>
        </w:rPr>
        <w:t xml:space="preserve">  (</w:t>
      </w:r>
      <w:proofErr w:type="gramEnd"/>
      <w:r w:rsidR="008F06E7">
        <w:rPr>
          <w:rFonts w:ascii="Arial" w:hAnsi="Arial" w:cs="Arial"/>
          <w:b/>
          <w:sz w:val="24"/>
          <w:szCs w:val="24"/>
        </w:rPr>
        <w:t>See below for h</w:t>
      </w:r>
      <w:r w:rsidR="003E6EE5">
        <w:rPr>
          <w:rFonts w:ascii="Arial" w:hAnsi="Arial" w:cs="Arial"/>
          <w:b/>
          <w:sz w:val="24"/>
          <w:szCs w:val="24"/>
        </w:rPr>
        <w:t>ead</w:t>
      </w:r>
      <w:r w:rsidR="008F06E7">
        <w:rPr>
          <w:rFonts w:ascii="Arial" w:hAnsi="Arial" w:cs="Arial"/>
          <w:b/>
          <w:sz w:val="24"/>
          <w:szCs w:val="24"/>
        </w:rPr>
        <w:t>, neck and SBAR</w:t>
      </w:r>
      <w:r w:rsidR="003E6EE5">
        <w:rPr>
          <w:rFonts w:ascii="Arial" w:hAnsi="Arial" w:cs="Arial"/>
          <w:b/>
          <w:sz w:val="24"/>
          <w:szCs w:val="24"/>
        </w:rPr>
        <w:t>)</w:t>
      </w:r>
    </w:p>
    <w:p w:rsidR="00AC476E" w:rsidRDefault="007E6F0C" w:rsidP="007C7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Subjective data</w:t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  <w:r w:rsidR="00F97935">
        <w:rPr>
          <w:rFonts w:ascii="Arial" w:hAnsi="Arial" w:cs="Arial"/>
          <w:b/>
          <w:sz w:val="24"/>
          <w:szCs w:val="24"/>
        </w:rPr>
        <w:tab/>
      </w:r>
    </w:p>
    <w:p w:rsidR="007C782E" w:rsidRDefault="00AC476E" w:rsidP="007C782E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As will all the upcoming assessments, d</w:t>
      </w:r>
      <w:r>
        <w:rPr>
          <w:rFonts w:cs="Arial"/>
          <w:b/>
          <w:sz w:val="28"/>
          <w:szCs w:val="28"/>
        </w:rPr>
        <w:t xml:space="preserve">ocument the assessment on an adult since they will be able to answer history questions, etc., and are assenting to your assessment by working with you on it.  </w:t>
      </w:r>
    </w:p>
    <w:p w:rsidR="007C782E" w:rsidRDefault="007C782E" w:rsidP="007C782E">
      <w:proofErr w:type="gramStart"/>
      <w:r>
        <w:t xml:space="preserve">Adapted from Weber, Kelly &amp; </w:t>
      </w:r>
      <w:proofErr w:type="spellStart"/>
      <w:r>
        <w:t>Sprengel</w:t>
      </w:r>
      <w:proofErr w:type="spellEnd"/>
      <w:r>
        <w:t>, 2014: Lippincott, with permission.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6185"/>
      </w:tblGrid>
      <w:tr w:rsidR="007C782E" w:rsidTr="00DB6C25">
        <w:tc>
          <w:tcPr>
            <w:tcW w:w="3165" w:type="dxa"/>
            <w:shd w:val="clear" w:color="auto" w:fill="DEEAF6" w:themeFill="accent1" w:themeFillTint="33"/>
          </w:tcPr>
          <w:p w:rsidR="007C782E" w:rsidRPr="007C782E" w:rsidRDefault="007C782E" w:rsidP="00DB6C25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 xml:space="preserve">Questions </w:t>
            </w:r>
          </w:p>
        </w:tc>
        <w:tc>
          <w:tcPr>
            <w:tcW w:w="6185" w:type="dxa"/>
            <w:shd w:val="clear" w:color="auto" w:fill="DEEAF6" w:themeFill="accent1" w:themeFillTint="33"/>
          </w:tcPr>
          <w:p w:rsidR="007C782E" w:rsidRPr="007C782E" w:rsidRDefault="007C782E" w:rsidP="00DB6C25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>Findings</w:t>
            </w: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DB6C25">
            <w:pPr>
              <w:rPr>
                <w:rFonts w:ascii="Arial" w:hAnsi="Arial" w:cs="Arial"/>
                <w:b/>
                <w:i/>
                <w:sz w:val="24"/>
                <w:szCs w:val="24"/>
              </w:rPr>
            </w:pPr>
            <w:r w:rsidRPr="007C782E">
              <w:rPr>
                <w:rFonts w:ascii="Arial" w:hAnsi="Arial" w:cs="Arial"/>
                <w:b/>
                <w:i/>
                <w:sz w:val="24"/>
                <w:szCs w:val="24"/>
              </w:rPr>
              <w:t>Current Status</w:t>
            </w:r>
          </w:p>
        </w:tc>
        <w:tc>
          <w:tcPr>
            <w:tcW w:w="6185" w:type="dxa"/>
          </w:tcPr>
          <w:p w:rsidR="007C782E" w:rsidRDefault="007C782E" w:rsidP="00DB6C25"/>
        </w:tc>
      </w:tr>
      <w:tr w:rsidR="007C782E" w:rsidTr="00DB6C25">
        <w:tc>
          <w:tcPr>
            <w:tcW w:w="3165" w:type="dxa"/>
          </w:tcPr>
          <w:p w:rsidR="007C782E" w:rsidRPr="007C782E" w:rsidRDefault="007C782E" w:rsidP="00AD1F08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1.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Skin problems 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as described by the assessment partner  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ask them to describe all 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rashes, lesions, dry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areas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 xml:space="preserve">, 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any 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oiliness, drainage, bruising, swelling,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or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 xml:space="preserve"> pigmentation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issues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)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AD1F08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2.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Reported c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hanges in lesion appearance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AD1F08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3.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>Reported c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hanges in sensation (pain, pressure, itch, tingling)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AD1F08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4.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>Reported h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air loss or changes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AD1F08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5.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>Reported n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>ail changes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782E">
              <w:rPr>
                <w:rStyle w:val="TableItalic"/>
                <w:rFonts w:ascii="Arial" w:eastAsia="Times New Roman" w:hAnsi="Arial" w:cs="Arial"/>
                <w:b/>
                <w:sz w:val="24"/>
                <w:szCs w:val="24"/>
              </w:rPr>
              <w:t>Past History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1.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Previous problems with skin, hair, or nails (treatment and surgery)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782E">
              <w:rPr>
                <w:rStyle w:val="TableItalic"/>
                <w:rFonts w:ascii="Arial" w:eastAsia="Times New Roman" w:hAnsi="Arial" w:cs="Arial"/>
                <w:b/>
                <w:sz w:val="24"/>
                <w:szCs w:val="24"/>
              </w:rPr>
              <w:t>Family History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1.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Family history of skin 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problems or skin cancer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7C782E">
              <w:rPr>
                <w:rStyle w:val="TableItalic"/>
                <w:rFonts w:ascii="Arial" w:eastAsia="Times New Roman" w:hAnsi="Arial" w:cs="Arial"/>
                <w:b/>
                <w:sz w:val="24"/>
                <w:szCs w:val="24"/>
              </w:rPr>
              <w:lastRenderedPageBreak/>
              <w:t>Lifestyle and Health Practices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1.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Exposure to sun or chemicals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C782E" w:rsidTr="00DB6C25">
        <w:tc>
          <w:tcPr>
            <w:tcW w:w="3165" w:type="dxa"/>
          </w:tcPr>
          <w:p w:rsidR="007C782E" w:rsidRPr="007C782E" w:rsidRDefault="007C782E" w:rsidP="007C782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>2.</w:t>
            </w:r>
            <w:r w:rsidRPr="007C782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Daily care of skin, hair, and </w:t>
            </w:r>
            <w:proofErr w:type="gramStart"/>
            <w:r w:rsidRPr="007C782E">
              <w:rPr>
                <w:rFonts w:ascii="Arial" w:eastAsia="Times New Roman" w:hAnsi="Arial" w:cs="Arial"/>
                <w:sz w:val="24"/>
                <w:szCs w:val="24"/>
              </w:rPr>
              <w:t>nails  (</w:t>
            </w:r>
            <w:proofErr w:type="gramEnd"/>
            <w:r w:rsidRPr="007C782E">
              <w:rPr>
                <w:rFonts w:ascii="Arial" w:eastAsia="Times New Roman" w:hAnsi="Arial" w:cs="Arial"/>
                <w:sz w:val="24"/>
                <w:szCs w:val="24"/>
              </w:rPr>
              <w:t>use of sunscreen, etc.)</w:t>
            </w:r>
          </w:p>
        </w:tc>
        <w:tc>
          <w:tcPr>
            <w:tcW w:w="6185" w:type="dxa"/>
          </w:tcPr>
          <w:p w:rsidR="007C782E" w:rsidRDefault="007C782E" w:rsidP="007C782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</w:tbl>
    <w:p w:rsidR="00390902" w:rsidRDefault="00390902"/>
    <w:p w:rsidR="00F97935" w:rsidRDefault="00F97935" w:rsidP="00F97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Head and neck</w:t>
      </w:r>
    </w:p>
    <w:p w:rsidR="00F97935" w:rsidRDefault="00F97935" w:rsidP="00F97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Subjective data</w:t>
      </w:r>
    </w:p>
    <w:p w:rsidR="00F97935" w:rsidRDefault="00F97935" w:rsidP="00F97935">
      <w:proofErr w:type="gramStart"/>
      <w:r>
        <w:t xml:space="preserve">Adapted from Weber, Kelly &amp; </w:t>
      </w:r>
      <w:proofErr w:type="spellStart"/>
      <w:r>
        <w:t>Sprengel</w:t>
      </w:r>
      <w:proofErr w:type="spellEnd"/>
      <w:r>
        <w:t>, 2014: Lippincott, with permission.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6185"/>
      </w:tblGrid>
      <w:tr w:rsidR="00F97935" w:rsidTr="00522E12">
        <w:tc>
          <w:tcPr>
            <w:tcW w:w="3165" w:type="dxa"/>
            <w:shd w:val="clear" w:color="auto" w:fill="DEEAF6" w:themeFill="accent1" w:themeFillTint="33"/>
          </w:tcPr>
          <w:p w:rsidR="00F97935" w:rsidRPr="007C782E" w:rsidRDefault="00F97935" w:rsidP="00522E12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 xml:space="preserve">Questions </w:t>
            </w:r>
          </w:p>
        </w:tc>
        <w:tc>
          <w:tcPr>
            <w:tcW w:w="6185" w:type="dxa"/>
            <w:shd w:val="clear" w:color="auto" w:fill="DEEAF6" w:themeFill="accent1" w:themeFillTint="33"/>
          </w:tcPr>
          <w:p w:rsidR="00F97935" w:rsidRPr="007C782E" w:rsidRDefault="00F97935" w:rsidP="00522E12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>Findings</w:t>
            </w: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61371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Current Symptoms</w:t>
            </w:r>
            <w:r w:rsidR="00AD1F08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 xml:space="preserve"> as reported by assessment partner</w:t>
            </w:r>
          </w:p>
        </w:tc>
        <w:tc>
          <w:tcPr>
            <w:tcW w:w="6185" w:type="dxa"/>
          </w:tcPr>
          <w:p w:rsidR="00F97935" w:rsidRDefault="00F97935" w:rsidP="00522E12"/>
        </w:tc>
      </w:tr>
      <w:tr w:rsidR="00F97935" w:rsidTr="00522E12">
        <w:tc>
          <w:tcPr>
            <w:tcW w:w="3165" w:type="dxa"/>
          </w:tcPr>
          <w:p w:rsidR="00F97935" w:rsidRPr="00061371" w:rsidRDefault="00F97935" w:rsidP="00911B4B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1.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Reported </w:t>
            </w:r>
            <w:r w:rsidR="00911B4B">
              <w:rPr>
                <w:rFonts w:ascii="Arial" w:eastAsia="Times New Roman" w:hAnsi="Arial" w:cs="Arial"/>
                <w:sz w:val="24"/>
                <w:szCs w:val="24"/>
              </w:rPr>
              <w:t>nodules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 xml:space="preserve"> or lesions on head or neck.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2.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Difficulty moving head or neck.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3.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Facial or neck pain or frequent headaches.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4.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Dizziness, lightheadedness, spinning sensation, or loss of consciousness.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61371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Past History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ind w:left="0" w:firstLine="0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5. 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Previous head or neck problems/trauma/injury (surgery, medication, physical or radiation therapy) results.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61371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Family History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6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Family history of head and/or neck cancer.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ab/>
              <w:t>7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Family history of migraine headaches.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061371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Lifestyle and Health Practices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8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Do you smoke or chew tobacco? Amount? Secondhand smoke?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9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ab/>
              <w:t>Do you wear a helmet or hard hat?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F97935" w:rsidTr="00522E12">
        <w:tc>
          <w:tcPr>
            <w:tcW w:w="3165" w:type="dxa"/>
          </w:tcPr>
          <w:p w:rsidR="00F97935" w:rsidRPr="00061371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10. </w:t>
            </w:r>
            <w:r w:rsidRPr="00061371">
              <w:rPr>
                <w:rFonts w:ascii="Arial" w:eastAsia="Times New Roman" w:hAnsi="Arial" w:cs="Arial"/>
                <w:sz w:val="24"/>
                <w:szCs w:val="24"/>
              </w:rPr>
              <w:t>Typical posture when relaxing, during sleep, and when working.</w:t>
            </w:r>
          </w:p>
        </w:tc>
        <w:tc>
          <w:tcPr>
            <w:tcW w:w="6185" w:type="dxa"/>
          </w:tcPr>
          <w:p w:rsidR="00F97935" w:rsidRDefault="00F97935" w:rsidP="00522E12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</w:tbl>
    <w:p w:rsidR="00F97935" w:rsidRDefault="00F97935" w:rsidP="00F97935"/>
    <w:p w:rsidR="007E6F0C" w:rsidRDefault="007E6F0C" w:rsidP="007E6F0C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 data: Hair, skin, nails</w:t>
      </w:r>
    </w:p>
    <w:p w:rsidR="007E6F0C" w:rsidRDefault="007E6F0C" w:rsidP="007E6F0C">
      <w:proofErr w:type="gramStart"/>
      <w:r>
        <w:t xml:space="preserve">Adapted from Weber, Kelly &amp; </w:t>
      </w:r>
      <w:proofErr w:type="spellStart"/>
      <w:r>
        <w:t>Sprengel</w:t>
      </w:r>
      <w:proofErr w:type="spellEnd"/>
      <w:r>
        <w:t>, 2014: Lippincott, with permission.</w:t>
      </w:r>
      <w:proofErr w:type="gramEnd"/>
      <w: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6185"/>
      </w:tblGrid>
      <w:tr w:rsidR="007E6F0C" w:rsidTr="00384E5E">
        <w:tc>
          <w:tcPr>
            <w:tcW w:w="3165" w:type="dxa"/>
            <w:shd w:val="clear" w:color="auto" w:fill="DEEAF6" w:themeFill="accent1" w:themeFillTint="33"/>
          </w:tcPr>
          <w:p w:rsidR="007E6F0C" w:rsidRPr="00B6173E" w:rsidRDefault="007E6F0C" w:rsidP="00384E5E">
            <w:pPr>
              <w:rPr>
                <w:rFonts w:ascii="Arial" w:hAnsi="Arial" w:cs="Arial"/>
                <w:sz w:val="24"/>
                <w:szCs w:val="24"/>
              </w:rPr>
            </w:pPr>
            <w:r w:rsidRPr="00B6173E">
              <w:rPr>
                <w:rFonts w:ascii="Arial" w:hAnsi="Arial" w:cs="Arial"/>
                <w:sz w:val="24"/>
                <w:szCs w:val="24"/>
              </w:rPr>
              <w:t xml:space="preserve">Questions </w:t>
            </w:r>
          </w:p>
        </w:tc>
        <w:tc>
          <w:tcPr>
            <w:tcW w:w="6185" w:type="dxa"/>
            <w:shd w:val="clear" w:color="auto" w:fill="DEEAF6" w:themeFill="accent1" w:themeFillTint="33"/>
          </w:tcPr>
          <w:p w:rsidR="00AD1F08" w:rsidRDefault="007E6F0C" w:rsidP="00384E5E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>Findings</w:t>
            </w:r>
            <w:r w:rsidR="00AD1F08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:rsidR="007E6F0C" w:rsidRPr="007C782E" w:rsidRDefault="00AD1F08" w:rsidP="00AD1F0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(In this class</w:t>
            </w:r>
            <w:r w:rsidR="00911B4B">
              <w:rPr>
                <w:rFonts w:ascii="Arial" w:hAnsi="Arial" w:cs="Arial"/>
                <w:sz w:val="24"/>
                <w:szCs w:val="24"/>
              </w:rPr>
              <w:t xml:space="preserve"> when describing objective data</w:t>
            </w:r>
            <w:r>
              <w:rPr>
                <w:rFonts w:ascii="Arial" w:hAnsi="Arial" w:cs="Arial"/>
                <w:sz w:val="24"/>
                <w:szCs w:val="24"/>
              </w:rPr>
              <w:t xml:space="preserve">, you need to use professional terminology.  Most students are weak in this area—review the correct terms in your textbook, such as macule, papule, pustule, etc.  No using </w:t>
            </w:r>
            <w:proofErr w:type="gramStart"/>
            <w:r>
              <w:rPr>
                <w:rFonts w:ascii="Arial" w:hAnsi="Arial" w:cs="Arial"/>
                <w:sz w:val="24"/>
                <w:szCs w:val="24"/>
              </w:rPr>
              <w:t>of  “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spot”, “bump”, etc.!  </w:t>
            </w: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 xml:space="preserve">1. 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 w:rsidRPr="00B6173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 xml:space="preserve">Inspect for generalized color variations (pallor, cyanosis, jaundice, erythema, </w:t>
            </w:r>
            <w:proofErr w:type="spellStart"/>
            <w:proofErr w:type="gramStart"/>
            <w:r w:rsidRPr="00B6173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vitiligo</w:t>
            </w:r>
            <w:proofErr w:type="spellEnd"/>
            <w:proofErr w:type="gramEnd"/>
            <w:r w:rsidRPr="00B6173E">
              <w:rPr>
                <w:rFonts w:ascii="Arial" w:eastAsia="Times New Roman" w:hAnsi="Arial" w:cs="Arial"/>
                <w:spacing w:val="-4"/>
                <w:sz w:val="24"/>
                <w:szCs w:val="24"/>
              </w:rPr>
              <w:t>).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2. Inspect for skin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reactive conditions, such </w:t>
            </w:r>
            <w:proofErr w:type="gramStart"/>
            <w:r>
              <w:rPr>
                <w:rFonts w:ascii="Arial" w:eastAsia="Times New Roman" w:hAnsi="Arial" w:cs="Arial"/>
                <w:sz w:val="24"/>
                <w:szCs w:val="24"/>
              </w:rPr>
              <w:t>as  breakdown</w:t>
            </w:r>
            <w:proofErr w:type="gramEnd"/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or calluses 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(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if applicable, 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use staging criteria given in Chapter 13).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3.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Describe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 xml:space="preserve"> primary, secondary, or vascular lesions. 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>Describe lesions using clinical terminology—macule, papule,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pustule,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etc.</w:t>
            </w:r>
            <w:r w:rsidR="00AD1F08"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4. 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Palpate texture (rough, smooth) of skin, using palmar surface of three middle fingers.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5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Palpate temperature (cool, warm, hot) and moisture (dry, sweaty, oily) of skin, using dorsal side of hand.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6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Palpate thickness of skin with </w:t>
            </w:r>
            <w:proofErr w:type="spellStart"/>
            <w:r w:rsidRPr="00B6173E">
              <w:rPr>
                <w:rFonts w:ascii="Arial" w:eastAsia="Times New Roman" w:hAnsi="Arial" w:cs="Arial"/>
                <w:sz w:val="24"/>
                <w:szCs w:val="24"/>
              </w:rPr>
              <w:t>fingerpads</w:t>
            </w:r>
            <w:proofErr w:type="spellEnd"/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7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Palpate mobility and turgor by pinching up skin over sternum.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8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Palpate for edema, pressing thumbs over feet or ankles.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6173E">
              <w:rPr>
                <w:rStyle w:val="TableItalic"/>
                <w:rFonts w:ascii="Arial" w:eastAsia="Times New Roman" w:hAnsi="Arial" w:cs="Arial"/>
                <w:b/>
                <w:sz w:val="24"/>
                <w:szCs w:val="24"/>
              </w:rPr>
              <w:t>Scalp and Hair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9. 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Inspect color.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ab/>
              <w:t>10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 Inspect amount and distribution.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11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 Inspect and palpate for thickness, texture, oiliness, lesions, and parasites.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6173E">
              <w:rPr>
                <w:rStyle w:val="TableItalic"/>
                <w:rFonts w:ascii="Arial" w:eastAsia="Times New Roman" w:hAnsi="Arial" w:cs="Arial"/>
                <w:b/>
                <w:sz w:val="24"/>
                <w:szCs w:val="24"/>
              </w:rPr>
              <w:t>Nails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>
              <w:rPr>
                <w:rFonts w:ascii="Arial" w:eastAsia="Times New Roman" w:hAnsi="Arial" w:cs="Arial"/>
                <w:sz w:val="24"/>
                <w:szCs w:val="24"/>
              </w:rPr>
              <w:t>12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 Inspect for grooming and cleanliness.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13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 Inspect for color and markings.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</w:r>
            <w:r>
              <w:rPr>
                <w:rFonts w:ascii="Arial" w:eastAsia="Times New Roman" w:hAnsi="Arial" w:cs="Arial"/>
                <w:sz w:val="24"/>
                <w:szCs w:val="24"/>
              </w:rPr>
              <w:t>14</w:t>
            </w:r>
            <w:r w:rsidRPr="00B6173E">
              <w:rPr>
                <w:rFonts w:ascii="Arial" w:eastAsia="Times New Roman" w:hAnsi="Arial" w:cs="Arial"/>
                <w:sz w:val="24"/>
                <w:szCs w:val="24"/>
              </w:rPr>
              <w:t>. Inspect shape.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15. Palpate texture and consistency.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  <w:tr w:rsidR="007E6F0C" w:rsidTr="00384E5E">
        <w:tc>
          <w:tcPr>
            <w:tcW w:w="3165" w:type="dxa"/>
          </w:tcPr>
          <w:p w:rsidR="007E6F0C" w:rsidRPr="00B6173E" w:rsidRDefault="007E6F0C" w:rsidP="00384E5E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6173E">
              <w:rPr>
                <w:rFonts w:ascii="Arial" w:eastAsia="Times New Roman" w:hAnsi="Arial" w:cs="Arial"/>
                <w:sz w:val="24"/>
                <w:szCs w:val="24"/>
              </w:rPr>
              <w:tab/>
              <w:t>16. Test for capillary refill.</w:t>
            </w:r>
          </w:p>
        </w:tc>
        <w:tc>
          <w:tcPr>
            <w:tcW w:w="6185" w:type="dxa"/>
          </w:tcPr>
          <w:p w:rsidR="007E6F0C" w:rsidRDefault="007E6F0C" w:rsidP="00384E5E">
            <w:pPr>
              <w:pStyle w:val="NoParagraphStyle"/>
              <w:spacing w:line="240" w:lineRule="auto"/>
              <w:textAlignment w:val="auto"/>
              <w:rPr>
                <w:rFonts w:eastAsia="Times New Roman"/>
                <w:b/>
                <w:color w:val="auto"/>
              </w:rPr>
            </w:pPr>
          </w:p>
        </w:tc>
      </w:tr>
    </w:tbl>
    <w:p w:rsidR="007E6F0C" w:rsidRDefault="007E6F0C" w:rsidP="007E6F0C"/>
    <w:p w:rsidR="00F97935" w:rsidRDefault="00F97935" w:rsidP="00F97935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Objective data: Head, neck and lymph nodes</w:t>
      </w:r>
    </w:p>
    <w:p w:rsidR="00F97935" w:rsidRDefault="00F97935" w:rsidP="00F97935">
      <w:proofErr w:type="gramStart"/>
      <w:r>
        <w:lastRenderedPageBreak/>
        <w:t xml:space="preserve">Adapted from Weber, Kelly &amp; </w:t>
      </w:r>
      <w:proofErr w:type="spellStart"/>
      <w:r>
        <w:t>Sprengel</w:t>
      </w:r>
      <w:proofErr w:type="spellEnd"/>
      <w:r>
        <w:t>, 2014: Lippincott, with permission.</w:t>
      </w:r>
      <w:proofErr w:type="gramEnd"/>
      <w:r>
        <w:t xml:space="preserve"> </w:t>
      </w: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405"/>
        <w:gridCol w:w="4945"/>
      </w:tblGrid>
      <w:tr w:rsidR="00F97935" w:rsidTr="00522E12">
        <w:tc>
          <w:tcPr>
            <w:tcW w:w="4405" w:type="dxa"/>
            <w:shd w:val="clear" w:color="auto" w:fill="DEEAF6" w:themeFill="accent1" w:themeFillTint="33"/>
          </w:tcPr>
          <w:p w:rsidR="00F97935" w:rsidRPr="007C782E" w:rsidRDefault="00F97935" w:rsidP="00522E12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 xml:space="preserve">Questions </w:t>
            </w:r>
          </w:p>
        </w:tc>
        <w:tc>
          <w:tcPr>
            <w:tcW w:w="4945" w:type="dxa"/>
            <w:shd w:val="clear" w:color="auto" w:fill="DEEAF6" w:themeFill="accent1" w:themeFillTint="33"/>
          </w:tcPr>
          <w:p w:rsidR="00F97935" w:rsidRPr="007C782E" w:rsidRDefault="00F97935" w:rsidP="00522E12">
            <w:pPr>
              <w:rPr>
                <w:rFonts w:ascii="Arial" w:hAnsi="Arial" w:cs="Arial"/>
                <w:sz w:val="24"/>
                <w:szCs w:val="24"/>
              </w:rPr>
            </w:pPr>
            <w:r w:rsidRPr="007C782E">
              <w:rPr>
                <w:rFonts w:ascii="Arial" w:hAnsi="Arial" w:cs="Arial"/>
                <w:sz w:val="24"/>
                <w:szCs w:val="24"/>
              </w:rPr>
              <w:t>Findings</w:t>
            </w: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02E8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Head and Face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Inspect head for size, shape, and configuration.</w:t>
            </w:r>
          </w:p>
          <w:p w:rsidR="00F97935" w:rsidRPr="00BC02E8" w:rsidRDefault="00F97935" w:rsidP="00522E12">
            <w:pPr>
              <w:pStyle w:val="CH"/>
              <w:ind w:left="408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numPr>
                <w:ilvl w:val="0"/>
                <w:numId w:val="2"/>
              </w:numPr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Palpate head for consistency while wearing gloves.</w:t>
            </w:r>
          </w:p>
          <w:p w:rsidR="00F97935" w:rsidRPr="00BC02E8" w:rsidRDefault="00F97935" w:rsidP="00522E12">
            <w:pPr>
              <w:pStyle w:val="CH"/>
              <w:ind w:left="408" w:firstLine="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3.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Inspect face for symmetry, features, movement, expression, and skin condition.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4.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Palpate temporal artery for tenderness and elasticity.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5.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Palpate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temporomandibular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joint for range of motion, swelling, tenderness, or crepitation by placing index finger over the front of each and asking client to open mouth. </w:t>
            </w:r>
          </w:p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2"/>
              <w:rPr>
                <w:rFonts w:ascii="Arial" w:eastAsia="Times New Roman" w:hAnsi="Arial" w:cs="Arial"/>
                <w:b/>
                <w:sz w:val="24"/>
                <w:szCs w:val="24"/>
              </w:rPr>
            </w:pPr>
            <w:r w:rsidRPr="00BC02E8">
              <w:rPr>
                <w:rStyle w:val="TableItalic"/>
                <w:rFonts w:ascii="Arial" w:eastAsia="Times New Roman" w:hAnsi="Arial" w:cs="Arial"/>
                <w:b/>
                <w:i/>
                <w:iCs/>
                <w:sz w:val="24"/>
                <w:szCs w:val="24"/>
              </w:rPr>
              <w:t>Neck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6.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Inspect neck while it is in a slightly extended position (and using a light) for position, symmetry, and presence of lumps and masses.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7.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 Inspect movement of thyroid and cricoid cartilage and thyroid gland by having client swallow a small sip of water.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8.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Inspect cervical vertebrae by having client flex neck.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9.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 xml:space="preserve">Inspect neck range of motion by having client turn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br/>
              <w:t>chin to right and left shoulder, touch each ear to the shoulder, touch chin to chest, and lift chin to ceiling.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ab/>
              <w:t>10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.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Palpate trachea by placing your finger in the sternal notch, feeling to each side, and palpating the tracheal rings.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11.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Palpate the thyroid gland.</w:t>
            </w:r>
          </w:p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ab/>
              <w:t>12.</w:t>
            </w:r>
            <w:r>
              <w:rPr>
                <w:rFonts w:ascii="Arial" w:eastAsia="Times New Roman" w:hAnsi="Arial" w:cs="Arial"/>
                <w:sz w:val="24"/>
                <w:szCs w:val="24"/>
              </w:rPr>
              <w:t xml:space="preserve">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Auscultate thyroid gland for bruits (use </w:t>
            </w:r>
            <w:r w:rsidR="001D1B39">
              <w:rPr>
                <w:rFonts w:ascii="Arial" w:eastAsia="Times New Roman" w:hAnsi="Arial" w:cs="Arial"/>
                <w:sz w:val="24"/>
                <w:szCs w:val="24"/>
              </w:rPr>
              <w:t xml:space="preserve">both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bell</w:t>
            </w:r>
            <w:r w:rsidR="001D1B39">
              <w:rPr>
                <w:rFonts w:ascii="Arial" w:eastAsia="Times New Roman" w:hAnsi="Arial" w:cs="Arial"/>
                <w:sz w:val="24"/>
                <w:szCs w:val="24"/>
              </w:rPr>
              <w:t xml:space="preserve"> and diaphragm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of stethoscope).</w:t>
            </w:r>
          </w:p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b/>
                <w:i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Lymph nodes: Palpate lymph n</w:t>
            </w:r>
            <w:r w:rsidR="00911B4B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>odes for size/shape, mobility,</w:t>
            </w:r>
            <w:r w:rsidRPr="00BC02E8">
              <w:rPr>
                <w:rFonts w:ascii="Arial" w:eastAsia="Times New Roman" w:hAnsi="Arial" w:cs="Arial"/>
                <w:b/>
                <w:i/>
                <w:sz w:val="24"/>
                <w:szCs w:val="24"/>
              </w:rPr>
              <w:t xml:space="preserve"> and tenderness (refer to display on characteristics of lymph nodes)</w:t>
            </w: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13..Preauricular nodes (front of ears)</w:t>
            </w:r>
          </w:p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14.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Postauricular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nodes (behind the ears)</w:t>
            </w:r>
          </w:p>
          <w:p w:rsidR="00F97935" w:rsidRPr="00BC02E8" w:rsidRDefault="00F97935" w:rsidP="00522E12">
            <w:pPr>
              <w:pStyle w:val="CH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2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15. Occipital nodes (posterior base of skull)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rPr>
          <w:trHeight w:val="665"/>
        </w:trPr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2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16.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Tonsillar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nodes (angle of the mandible, on the anterior edge of the sternocleidomastoid muscle)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2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18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>17. Submandibular nodes (medial border of the mandible); do not confuse with the lobulated submandibular gland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18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337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18.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Submental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nodes (a few centimeters behind the tip of the mandible); use one hand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337" w:hanging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157" w:hanging="9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19. Superficial cervical nodes (superficial to the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sternomastoid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muscle)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157" w:hanging="9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337" w:hanging="270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20. Posterior cervical nodes (posterior to the sternocleidomastoid and </w:t>
            </w:r>
            <w:r w:rsidRPr="00BC02E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>anterior to the trapezius in the posterior triangle)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337" w:hanging="270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47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lastRenderedPageBreak/>
              <w:t xml:space="preserve">21. Deep cervical chain nodes (deep within and around the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sternomastoid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muscle)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4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  <w:tr w:rsidR="00F97935" w:rsidRPr="00BC02E8" w:rsidTr="00522E12">
        <w:tc>
          <w:tcPr>
            <w:tcW w:w="4405" w:type="dxa"/>
          </w:tcPr>
          <w:p w:rsidR="00F97935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47"/>
              <w:rPr>
                <w:rFonts w:ascii="Arial" w:eastAsia="Times New Roman" w:hAnsi="Arial" w:cs="Arial"/>
                <w:sz w:val="24"/>
                <w:szCs w:val="24"/>
              </w:rPr>
            </w:pPr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22. Supraclavicular nodes (hook fingers over clavicles and feel deeply between the clavicles and the </w:t>
            </w:r>
            <w:proofErr w:type="spellStart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>sternomastoid</w:t>
            </w:r>
            <w:proofErr w:type="spellEnd"/>
            <w:r w:rsidRPr="00BC02E8">
              <w:rPr>
                <w:rFonts w:ascii="Arial" w:eastAsia="Times New Roman" w:hAnsi="Arial" w:cs="Arial"/>
                <w:sz w:val="24"/>
                <w:szCs w:val="24"/>
              </w:rPr>
              <w:t xml:space="preserve"> muscles)</w:t>
            </w:r>
          </w:p>
          <w:p w:rsidR="00F97935" w:rsidRPr="00BC02E8" w:rsidRDefault="00F97935" w:rsidP="00522E12">
            <w:pPr>
              <w:pStyle w:val="CH"/>
              <w:tabs>
                <w:tab w:val="clear" w:pos="250"/>
              </w:tabs>
              <w:spacing w:before="0"/>
              <w:ind w:left="247" w:hanging="247"/>
              <w:rPr>
                <w:rFonts w:ascii="Arial" w:eastAsia="Times New Roman" w:hAnsi="Arial" w:cs="Arial"/>
                <w:sz w:val="24"/>
                <w:szCs w:val="24"/>
              </w:rPr>
            </w:pPr>
          </w:p>
        </w:tc>
        <w:tc>
          <w:tcPr>
            <w:tcW w:w="4945" w:type="dxa"/>
          </w:tcPr>
          <w:p w:rsidR="00F97935" w:rsidRPr="00BC02E8" w:rsidRDefault="00F97935" w:rsidP="00522E12">
            <w:pPr>
              <w:pStyle w:val="NoParagraphStyle"/>
              <w:spacing w:line="240" w:lineRule="auto"/>
              <w:textAlignment w:val="auto"/>
              <w:rPr>
                <w:rFonts w:ascii="Arial" w:eastAsia="Times New Roman" w:hAnsi="Arial" w:cs="Arial"/>
                <w:color w:val="auto"/>
                <w:sz w:val="24"/>
              </w:rPr>
            </w:pPr>
          </w:p>
        </w:tc>
      </w:tr>
    </w:tbl>
    <w:p w:rsidR="00F97935" w:rsidRPr="00BC02E8" w:rsidRDefault="00F97935" w:rsidP="00F97935">
      <w:pPr>
        <w:rPr>
          <w:rFonts w:ascii="Arial" w:hAnsi="Arial" w:cs="Arial"/>
          <w:sz w:val="24"/>
          <w:szCs w:val="24"/>
        </w:rPr>
      </w:pPr>
    </w:p>
    <w:p w:rsidR="00D53B17" w:rsidRDefault="00D53B17" w:rsidP="00D53B17">
      <w:pPr>
        <w:rPr>
          <w:rFonts w:ascii="Arial" w:hAnsi="Arial" w:cs="Arial"/>
          <w:b/>
          <w:sz w:val="28"/>
          <w:szCs w:val="28"/>
        </w:rPr>
      </w:pPr>
      <w:r w:rsidRPr="009150F7">
        <w:rPr>
          <w:rFonts w:ascii="Arial" w:hAnsi="Arial" w:cs="Arial"/>
          <w:b/>
          <w:sz w:val="28"/>
          <w:szCs w:val="28"/>
        </w:rPr>
        <w:t>SBAR</w:t>
      </w:r>
    </w:p>
    <w:p w:rsidR="00D53B17" w:rsidRDefault="00D53B17" w:rsidP="00D53B17">
      <w:pPr>
        <w:ind w:firstLine="720"/>
        <w:rPr>
          <w:rFonts w:ascii="Arial" w:hAnsi="Arial" w:cs="Arial"/>
          <w:sz w:val="24"/>
          <w:szCs w:val="24"/>
        </w:rPr>
      </w:pPr>
      <w:r w:rsidRPr="00EB29FE">
        <w:rPr>
          <w:rFonts w:ascii="Arial" w:hAnsi="Arial" w:cs="Arial"/>
          <w:sz w:val="24"/>
          <w:szCs w:val="24"/>
        </w:rPr>
        <w:t>As you have assessed your patient, which finding would require attention</w:t>
      </w:r>
      <w:r>
        <w:rPr>
          <w:rFonts w:ascii="Arial" w:hAnsi="Arial" w:cs="Arial"/>
          <w:sz w:val="24"/>
          <w:szCs w:val="24"/>
        </w:rPr>
        <w:t xml:space="preserve"> </w:t>
      </w:r>
      <w:r w:rsidRPr="00EB29FE">
        <w:rPr>
          <w:rFonts w:ascii="Arial" w:hAnsi="Arial" w:cs="Arial"/>
          <w:sz w:val="24"/>
          <w:szCs w:val="24"/>
        </w:rPr>
        <w:t xml:space="preserve">from the </w:t>
      </w:r>
      <w:r>
        <w:rPr>
          <w:rFonts w:ascii="Arial" w:hAnsi="Arial" w:cs="Arial"/>
          <w:sz w:val="24"/>
          <w:szCs w:val="24"/>
        </w:rPr>
        <w:t xml:space="preserve">Module 2 </w:t>
      </w:r>
      <w:r w:rsidRPr="00EB29FE">
        <w:rPr>
          <w:rFonts w:ascii="Arial" w:hAnsi="Arial" w:cs="Arial"/>
          <w:sz w:val="24"/>
          <w:szCs w:val="24"/>
        </w:rPr>
        <w:t>assessment</w:t>
      </w:r>
      <w:r>
        <w:rPr>
          <w:rFonts w:ascii="Arial" w:hAnsi="Arial" w:cs="Arial"/>
          <w:sz w:val="24"/>
          <w:szCs w:val="24"/>
        </w:rPr>
        <w:t>?</w:t>
      </w:r>
      <w:r w:rsidRPr="00EB29FE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D53B17">
        <w:rPr>
          <w:rFonts w:ascii="Arial" w:hAnsi="Arial" w:cs="Arial"/>
          <w:sz w:val="24"/>
          <w:szCs w:val="24"/>
        </w:rPr>
        <w:t>(Skin, Hair, Nails, Head, Neck, Eyes, Ears, Mouth, Nose, Throat, or Sinuses)</w:t>
      </w:r>
      <w:r>
        <w:rPr>
          <w:rFonts w:ascii="Arial" w:hAnsi="Arial" w:cs="Arial"/>
          <w:sz w:val="24"/>
          <w:szCs w:val="24"/>
        </w:rPr>
        <w:t>.</w:t>
      </w:r>
      <w:proofErr w:type="gramEnd"/>
      <w:r>
        <w:rPr>
          <w:rFonts w:ascii="Arial" w:hAnsi="Arial" w:cs="Arial"/>
          <w:sz w:val="24"/>
          <w:szCs w:val="24"/>
        </w:rPr>
        <w:t xml:space="preserve">  </w:t>
      </w:r>
      <w:r w:rsidRPr="00D53B17">
        <w:rPr>
          <w:rFonts w:ascii="Arial" w:hAnsi="Arial" w:cs="Arial"/>
          <w:sz w:val="24"/>
          <w:szCs w:val="24"/>
        </w:rPr>
        <w:t xml:space="preserve">Select </w:t>
      </w:r>
      <w:r>
        <w:rPr>
          <w:rFonts w:ascii="Arial" w:hAnsi="Arial" w:cs="Arial"/>
          <w:sz w:val="24"/>
          <w:szCs w:val="24"/>
        </w:rPr>
        <w:t>a problem</w:t>
      </w:r>
      <w:r w:rsidRPr="00EB29FE">
        <w:rPr>
          <w:rFonts w:ascii="Arial" w:hAnsi="Arial" w:cs="Arial"/>
          <w:sz w:val="24"/>
          <w:szCs w:val="24"/>
        </w:rPr>
        <w:t xml:space="preserve"> you feel to be of importance and address it using the SBAR form.  If you have a healthy assessment partner, it may be as simple as addressing that he/she</w:t>
      </w:r>
      <w:r>
        <w:rPr>
          <w:rFonts w:ascii="Arial" w:hAnsi="Arial" w:cs="Arial"/>
          <w:sz w:val="24"/>
          <w:szCs w:val="24"/>
        </w:rPr>
        <w:t xml:space="preserve"> should utilize sunscreen or ceases using unsafe tanning methods</w:t>
      </w:r>
      <w:r w:rsidRPr="00EB29FE">
        <w:rPr>
          <w:rFonts w:ascii="Arial" w:hAnsi="Arial" w:cs="Arial"/>
          <w:sz w:val="24"/>
          <w:szCs w:val="24"/>
        </w:rPr>
        <w:t>.  If your assessment partner has chronic health problems</w:t>
      </w:r>
      <w:r>
        <w:rPr>
          <w:rFonts w:ascii="Arial" w:hAnsi="Arial" w:cs="Arial"/>
          <w:sz w:val="24"/>
          <w:szCs w:val="24"/>
        </w:rPr>
        <w:t xml:space="preserve"> in one of the module areas, you may address one of those problems below.</w:t>
      </w:r>
    </w:p>
    <w:p w:rsidR="00454D9D" w:rsidRPr="00454D9D" w:rsidRDefault="00454D9D" w:rsidP="00454D9D">
      <w:pPr>
        <w:ind w:firstLine="720"/>
        <w:rPr>
          <w:rFonts w:ascii="Arial" w:eastAsia="Calibri" w:hAnsi="Arial" w:cs="Arial"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65"/>
        <w:gridCol w:w="6185"/>
      </w:tblGrid>
      <w:tr w:rsidR="00454D9D" w:rsidRPr="00454D9D" w:rsidTr="00454D9D">
        <w:tc>
          <w:tcPr>
            <w:tcW w:w="3165" w:type="dxa"/>
            <w:shd w:val="clear" w:color="auto" w:fill="DBE5F1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D9D">
              <w:rPr>
                <w:rFonts w:ascii="Arial" w:eastAsia="Calibri" w:hAnsi="Arial" w:cs="Arial"/>
                <w:sz w:val="24"/>
                <w:szCs w:val="24"/>
              </w:rPr>
              <w:t>SBAR</w:t>
            </w:r>
          </w:p>
        </w:tc>
        <w:tc>
          <w:tcPr>
            <w:tcW w:w="6185" w:type="dxa"/>
            <w:shd w:val="clear" w:color="auto" w:fill="DBE5F1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</w:tr>
      <w:tr w:rsidR="00454D9D" w:rsidRPr="00454D9D" w:rsidTr="009E54DB">
        <w:trPr>
          <w:trHeight w:val="755"/>
        </w:trPr>
        <w:tc>
          <w:tcPr>
            <w:tcW w:w="3165" w:type="dxa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D9D">
              <w:rPr>
                <w:rFonts w:ascii="Arial" w:eastAsia="Calibri" w:hAnsi="Arial" w:cs="Arial"/>
                <w:sz w:val="24"/>
                <w:szCs w:val="24"/>
              </w:rPr>
              <w:t>Situation</w:t>
            </w:r>
          </w:p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  <w:r w:rsidRPr="00454D9D">
              <w:rPr>
                <w:rFonts w:ascii="Arial" w:eastAsia="Calibri" w:hAnsi="Arial" w:cs="Arial"/>
                <w:sz w:val="24"/>
                <w:szCs w:val="24"/>
              </w:rPr>
              <w:t>(What is the most important problem you have identified? When did it start, and how severe is it?)</w:t>
            </w:r>
          </w:p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Arial"/>
                <w:sz w:val="24"/>
                <w:szCs w:val="24"/>
              </w:rPr>
            </w:pPr>
          </w:p>
        </w:tc>
        <w:tc>
          <w:tcPr>
            <w:tcW w:w="6185" w:type="dxa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</w:p>
        </w:tc>
      </w:tr>
      <w:tr w:rsidR="00454D9D" w:rsidRPr="00454D9D" w:rsidTr="009E54DB">
        <w:trPr>
          <w:trHeight w:val="809"/>
        </w:trPr>
        <w:tc>
          <w:tcPr>
            <w:tcW w:w="3165" w:type="dxa"/>
          </w:tcPr>
          <w:p w:rsidR="00454D9D" w:rsidRPr="00454D9D" w:rsidRDefault="00454D9D" w:rsidP="00454D9D">
            <w:pPr>
              <w:widowControl w:val="0"/>
              <w:tabs>
                <w:tab w:val="right" w:pos="250"/>
                <w:tab w:val="left" w:pos="5120"/>
              </w:tabs>
              <w:suppressAutoHyphens/>
              <w:autoSpaceDE w:val="0"/>
              <w:autoSpaceDN w:val="0"/>
              <w:adjustRightInd w:val="0"/>
              <w:spacing w:before="160" w:after="0" w:line="220" w:lineRule="atLeast"/>
              <w:ind w:left="300" w:hanging="30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4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Background</w:t>
            </w:r>
          </w:p>
          <w:p w:rsidR="00454D9D" w:rsidRPr="00454D9D" w:rsidRDefault="00454D9D" w:rsidP="00454D9D">
            <w:pPr>
              <w:widowControl w:val="0"/>
              <w:tabs>
                <w:tab w:val="right" w:pos="250"/>
                <w:tab w:val="left" w:pos="5120"/>
              </w:tabs>
              <w:suppressAutoHyphens/>
              <w:autoSpaceDE w:val="0"/>
              <w:autoSpaceDN w:val="0"/>
              <w:adjustRightInd w:val="0"/>
              <w:spacing w:before="240" w:after="0" w:line="22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4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(The evidence—Health history relating to this problem, what is being done, and what assessment findings are most important now.)</w:t>
            </w:r>
          </w:p>
        </w:tc>
        <w:tc>
          <w:tcPr>
            <w:tcW w:w="6185" w:type="dxa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</w:p>
        </w:tc>
      </w:tr>
      <w:tr w:rsidR="00454D9D" w:rsidRPr="00454D9D" w:rsidTr="009E54DB">
        <w:tc>
          <w:tcPr>
            <w:tcW w:w="3165" w:type="dxa"/>
          </w:tcPr>
          <w:p w:rsidR="00454D9D" w:rsidRPr="00454D9D" w:rsidRDefault="00454D9D" w:rsidP="00454D9D">
            <w:pPr>
              <w:widowControl w:val="0"/>
              <w:tabs>
                <w:tab w:val="right" w:pos="250"/>
                <w:tab w:val="left" w:pos="5120"/>
              </w:tabs>
              <w:suppressAutoHyphens/>
              <w:autoSpaceDE w:val="0"/>
              <w:autoSpaceDN w:val="0"/>
              <w:adjustRightInd w:val="0"/>
              <w:spacing w:before="160" w:after="0" w:line="220" w:lineRule="atLeast"/>
              <w:ind w:left="300" w:hanging="300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4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>Assessment</w:t>
            </w:r>
          </w:p>
          <w:p w:rsidR="00454D9D" w:rsidRPr="00454D9D" w:rsidRDefault="00454D9D" w:rsidP="00454D9D">
            <w:pPr>
              <w:widowControl w:val="0"/>
              <w:tabs>
                <w:tab w:val="right" w:pos="250"/>
                <w:tab w:val="left" w:pos="5120"/>
              </w:tabs>
              <w:suppressAutoHyphens/>
              <w:autoSpaceDE w:val="0"/>
              <w:autoSpaceDN w:val="0"/>
              <w:adjustRightInd w:val="0"/>
              <w:spacing w:before="160" w:after="0" w:line="220" w:lineRule="atLeast"/>
              <w:textAlignment w:val="center"/>
              <w:rPr>
                <w:rFonts w:ascii="Arial" w:eastAsia="Times New Roman" w:hAnsi="Arial" w:cs="Arial"/>
                <w:color w:val="000000"/>
                <w:sz w:val="24"/>
                <w:szCs w:val="24"/>
              </w:rPr>
            </w:pPr>
            <w:r w:rsidRPr="00454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t xml:space="preserve">(What do you think the problem is—which direction </w:t>
            </w:r>
            <w:r w:rsidRPr="00454D9D">
              <w:rPr>
                <w:rFonts w:ascii="Arial" w:eastAsia="Times New Roman" w:hAnsi="Arial" w:cs="Arial"/>
                <w:color w:val="000000"/>
                <w:sz w:val="24"/>
                <w:szCs w:val="24"/>
              </w:rPr>
              <w:lastRenderedPageBreak/>
              <w:t>does it seem to be going?)</w:t>
            </w:r>
          </w:p>
        </w:tc>
        <w:tc>
          <w:tcPr>
            <w:tcW w:w="6185" w:type="dxa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</w:p>
        </w:tc>
      </w:tr>
      <w:tr w:rsidR="00454D9D" w:rsidRPr="00454D9D" w:rsidTr="009E54DB">
        <w:trPr>
          <w:trHeight w:val="809"/>
        </w:trPr>
        <w:tc>
          <w:tcPr>
            <w:tcW w:w="3165" w:type="dxa"/>
          </w:tcPr>
          <w:p w:rsidR="00454D9D" w:rsidRPr="00454D9D" w:rsidRDefault="00454D9D" w:rsidP="00454D9D">
            <w:pPr>
              <w:widowControl w:val="0"/>
              <w:tabs>
                <w:tab w:val="left" w:pos="5120"/>
              </w:tabs>
              <w:suppressAutoHyphens/>
              <w:autoSpaceDE w:val="0"/>
              <w:autoSpaceDN w:val="0"/>
              <w:adjustRightInd w:val="0"/>
              <w:spacing w:before="160" w:after="0" w:line="220" w:lineRule="atLeast"/>
              <w:textAlignment w:val="center"/>
              <w:rPr>
                <w:rFonts w:ascii="Arial" w:eastAsia="Cambria" w:hAnsi="Arial" w:cs="Arial"/>
                <w:color w:val="000000"/>
                <w:sz w:val="24"/>
                <w:szCs w:val="24"/>
              </w:rPr>
            </w:pPr>
            <w:r w:rsidRPr="00454D9D">
              <w:rPr>
                <w:rFonts w:ascii="Arial" w:eastAsia="Cambria" w:hAnsi="Arial" w:cs="Arial"/>
                <w:color w:val="000000"/>
                <w:sz w:val="24"/>
                <w:szCs w:val="24"/>
              </w:rPr>
              <w:lastRenderedPageBreak/>
              <w:t>Recommendation</w:t>
            </w:r>
          </w:p>
          <w:p w:rsidR="00454D9D" w:rsidRPr="00454D9D" w:rsidRDefault="00454D9D" w:rsidP="00454D9D">
            <w:pPr>
              <w:widowControl w:val="0"/>
              <w:tabs>
                <w:tab w:val="left" w:pos="5120"/>
              </w:tabs>
              <w:suppressAutoHyphens/>
              <w:autoSpaceDE w:val="0"/>
              <w:autoSpaceDN w:val="0"/>
              <w:adjustRightInd w:val="0"/>
              <w:spacing w:before="160" w:after="0" w:line="220" w:lineRule="atLeast"/>
              <w:textAlignment w:val="center"/>
              <w:rPr>
                <w:rFonts w:ascii="Arial" w:eastAsia="Times New Roman" w:hAnsi="Arial" w:cs="Arial"/>
                <w:b/>
                <w:i/>
                <w:iCs/>
                <w:color w:val="000000"/>
                <w:sz w:val="24"/>
                <w:szCs w:val="24"/>
              </w:rPr>
            </w:pPr>
            <w:r w:rsidRPr="00454D9D">
              <w:rPr>
                <w:rFonts w:ascii="Arial" w:eastAsia="Cambria" w:hAnsi="Arial" w:cs="Arial"/>
                <w:color w:val="000000"/>
                <w:sz w:val="24"/>
                <w:szCs w:val="24"/>
              </w:rPr>
              <w:t>(What needs to happen next?)</w:t>
            </w:r>
          </w:p>
        </w:tc>
        <w:tc>
          <w:tcPr>
            <w:tcW w:w="6185" w:type="dxa"/>
          </w:tcPr>
          <w:p w:rsidR="00454D9D" w:rsidRPr="00454D9D" w:rsidRDefault="00454D9D" w:rsidP="00454D9D">
            <w:pPr>
              <w:spacing w:after="0" w:line="240" w:lineRule="auto"/>
              <w:rPr>
                <w:rFonts w:ascii="Arial" w:eastAsia="Calibri" w:hAnsi="Arial" w:cs="Times New Roman"/>
                <w:sz w:val="24"/>
              </w:rPr>
            </w:pPr>
          </w:p>
        </w:tc>
      </w:tr>
    </w:tbl>
    <w:p w:rsidR="00454D9D" w:rsidRPr="00454D9D" w:rsidRDefault="00454D9D" w:rsidP="00454D9D">
      <w:pPr>
        <w:rPr>
          <w:rFonts w:ascii="Arial" w:eastAsia="Calibri" w:hAnsi="Arial" w:cs="Times New Roman"/>
          <w:sz w:val="24"/>
        </w:rPr>
      </w:pPr>
    </w:p>
    <w:p w:rsidR="007E6F0C" w:rsidRDefault="007E6F0C"/>
    <w:sectPr w:rsidR="007E6F0C">
      <w:head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7EE6" w:rsidRDefault="00487EE6" w:rsidP="00F97935">
      <w:pPr>
        <w:spacing w:after="0" w:line="240" w:lineRule="auto"/>
      </w:pPr>
      <w:r>
        <w:separator/>
      </w:r>
    </w:p>
  </w:endnote>
  <w:endnote w:type="continuationSeparator" w:id="0">
    <w:p w:rsidR="00487EE6" w:rsidRDefault="00487EE6" w:rsidP="00F979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FrutigerLTStd-Light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FrutigerLTStd-LightItalic">
    <w:altName w:val="Frutiger LT Std 45 Light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FrutigerLTStd-Black">
    <w:altName w:val="Frutiger LT Std 55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7EE6" w:rsidRDefault="00487EE6" w:rsidP="00F97935">
      <w:pPr>
        <w:spacing w:after="0" w:line="240" w:lineRule="auto"/>
      </w:pPr>
      <w:r>
        <w:separator/>
      </w:r>
    </w:p>
  </w:footnote>
  <w:footnote w:type="continuationSeparator" w:id="0">
    <w:p w:rsidR="00487EE6" w:rsidRDefault="00487EE6" w:rsidP="00F979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17721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F97935" w:rsidRDefault="00F97935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E77E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F97935" w:rsidRDefault="00F97935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8F6C59"/>
    <w:multiLevelType w:val="hybridMultilevel"/>
    <w:tmpl w:val="252C8C7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976D7B"/>
    <w:multiLevelType w:val="hybridMultilevel"/>
    <w:tmpl w:val="A6127346"/>
    <w:lvl w:ilvl="0" w:tplc="17FA21DE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28" w:hanging="360"/>
      </w:pPr>
    </w:lvl>
    <w:lvl w:ilvl="2" w:tplc="0409001B" w:tentative="1">
      <w:start w:val="1"/>
      <w:numFmt w:val="lowerRoman"/>
      <w:lvlText w:val="%3."/>
      <w:lvlJc w:val="right"/>
      <w:pPr>
        <w:ind w:left="1848" w:hanging="180"/>
      </w:pPr>
    </w:lvl>
    <w:lvl w:ilvl="3" w:tplc="0409000F" w:tentative="1">
      <w:start w:val="1"/>
      <w:numFmt w:val="decimal"/>
      <w:lvlText w:val="%4."/>
      <w:lvlJc w:val="left"/>
      <w:pPr>
        <w:ind w:left="2568" w:hanging="360"/>
      </w:pPr>
    </w:lvl>
    <w:lvl w:ilvl="4" w:tplc="04090019" w:tentative="1">
      <w:start w:val="1"/>
      <w:numFmt w:val="lowerLetter"/>
      <w:lvlText w:val="%5."/>
      <w:lvlJc w:val="left"/>
      <w:pPr>
        <w:ind w:left="3288" w:hanging="360"/>
      </w:pPr>
    </w:lvl>
    <w:lvl w:ilvl="5" w:tplc="0409001B" w:tentative="1">
      <w:start w:val="1"/>
      <w:numFmt w:val="lowerRoman"/>
      <w:lvlText w:val="%6."/>
      <w:lvlJc w:val="right"/>
      <w:pPr>
        <w:ind w:left="4008" w:hanging="180"/>
      </w:pPr>
    </w:lvl>
    <w:lvl w:ilvl="6" w:tplc="0409000F" w:tentative="1">
      <w:start w:val="1"/>
      <w:numFmt w:val="decimal"/>
      <w:lvlText w:val="%7."/>
      <w:lvlJc w:val="left"/>
      <w:pPr>
        <w:ind w:left="4728" w:hanging="360"/>
      </w:pPr>
    </w:lvl>
    <w:lvl w:ilvl="7" w:tplc="04090019" w:tentative="1">
      <w:start w:val="1"/>
      <w:numFmt w:val="lowerLetter"/>
      <w:lvlText w:val="%8."/>
      <w:lvlJc w:val="left"/>
      <w:pPr>
        <w:ind w:left="5448" w:hanging="360"/>
      </w:pPr>
    </w:lvl>
    <w:lvl w:ilvl="8" w:tplc="0409001B" w:tentative="1">
      <w:start w:val="1"/>
      <w:numFmt w:val="lowerRoman"/>
      <w:lvlText w:val="%9."/>
      <w:lvlJc w:val="right"/>
      <w:pPr>
        <w:ind w:left="616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782E"/>
    <w:rsid w:val="00001FDD"/>
    <w:rsid w:val="00012A20"/>
    <w:rsid w:val="00016749"/>
    <w:rsid w:val="00024A1B"/>
    <w:rsid w:val="000325E5"/>
    <w:rsid w:val="000337DA"/>
    <w:rsid w:val="00050DA5"/>
    <w:rsid w:val="00056572"/>
    <w:rsid w:val="00061969"/>
    <w:rsid w:val="00065729"/>
    <w:rsid w:val="00073A02"/>
    <w:rsid w:val="00075B24"/>
    <w:rsid w:val="000859D7"/>
    <w:rsid w:val="00086C34"/>
    <w:rsid w:val="00086E3B"/>
    <w:rsid w:val="000954F6"/>
    <w:rsid w:val="00095FDB"/>
    <w:rsid w:val="00096DD1"/>
    <w:rsid w:val="000972A7"/>
    <w:rsid w:val="000A71C5"/>
    <w:rsid w:val="000B2512"/>
    <w:rsid w:val="000B3416"/>
    <w:rsid w:val="000B454C"/>
    <w:rsid w:val="000D292D"/>
    <w:rsid w:val="000D3385"/>
    <w:rsid w:val="000D5402"/>
    <w:rsid w:val="000E5461"/>
    <w:rsid w:val="000F1FE6"/>
    <w:rsid w:val="00120F0B"/>
    <w:rsid w:val="00133D0B"/>
    <w:rsid w:val="00134CFE"/>
    <w:rsid w:val="001371A9"/>
    <w:rsid w:val="00162A1A"/>
    <w:rsid w:val="00163F1B"/>
    <w:rsid w:val="00164F28"/>
    <w:rsid w:val="00170170"/>
    <w:rsid w:val="001724BD"/>
    <w:rsid w:val="00181B51"/>
    <w:rsid w:val="0018599C"/>
    <w:rsid w:val="00185BB0"/>
    <w:rsid w:val="001A38C8"/>
    <w:rsid w:val="001A452D"/>
    <w:rsid w:val="001A48DB"/>
    <w:rsid w:val="001A6A22"/>
    <w:rsid w:val="001A72B2"/>
    <w:rsid w:val="001B4BCA"/>
    <w:rsid w:val="001C5181"/>
    <w:rsid w:val="001D1B39"/>
    <w:rsid w:val="001D387E"/>
    <w:rsid w:val="001D53E2"/>
    <w:rsid w:val="001D5E9F"/>
    <w:rsid w:val="001E323E"/>
    <w:rsid w:val="001F5864"/>
    <w:rsid w:val="00203A67"/>
    <w:rsid w:val="00203B50"/>
    <w:rsid w:val="00215C22"/>
    <w:rsid w:val="00217A69"/>
    <w:rsid w:val="002253EF"/>
    <w:rsid w:val="00231C0C"/>
    <w:rsid w:val="00234DC6"/>
    <w:rsid w:val="00234E4C"/>
    <w:rsid w:val="0024381A"/>
    <w:rsid w:val="00247160"/>
    <w:rsid w:val="00250DAC"/>
    <w:rsid w:val="00250E75"/>
    <w:rsid w:val="002548BB"/>
    <w:rsid w:val="002650A0"/>
    <w:rsid w:val="00275F57"/>
    <w:rsid w:val="002805E3"/>
    <w:rsid w:val="00280BF6"/>
    <w:rsid w:val="002835CA"/>
    <w:rsid w:val="002849F3"/>
    <w:rsid w:val="00293CDE"/>
    <w:rsid w:val="00296027"/>
    <w:rsid w:val="00296B5A"/>
    <w:rsid w:val="002A4185"/>
    <w:rsid w:val="002A55EC"/>
    <w:rsid w:val="002B637B"/>
    <w:rsid w:val="002C34F8"/>
    <w:rsid w:val="002D1734"/>
    <w:rsid w:val="002D20EA"/>
    <w:rsid w:val="002D2DB2"/>
    <w:rsid w:val="002D6006"/>
    <w:rsid w:val="0030331D"/>
    <w:rsid w:val="0030547E"/>
    <w:rsid w:val="00307804"/>
    <w:rsid w:val="00310E85"/>
    <w:rsid w:val="00315981"/>
    <w:rsid w:val="003400BE"/>
    <w:rsid w:val="00341E4E"/>
    <w:rsid w:val="00350B34"/>
    <w:rsid w:val="003549FD"/>
    <w:rsid w:val="0037124A"/>
    <w:rsid w:val="00380378"/>
    <w:rsid w:val="00385CB4"/>
    <w:rsid w:val="00390902"/>
    <w:rsid w:val="00391D75"/>
    <w:rsid w:val="00396576"/>
    <w:rsid w:val="003B4D4E"/>
    <w:rsid w:val="003B5141"/>
    <w:rsid w:val="003C0354"/>
    <w:rsid w:val="003C0F81"/>
    <w:rsid w:val="003C16AB"/>
    <w:rsid w:val="003D723D"/>
    <w:rsid w:val="003E2708"/>
    <w:rsid w:val="003E2CCC"/>
    <w:rsid w:val="003E6EE5"/>
    <w:rsid w:val="003F26E7"/>
    <w:rsid w:val="00415E08"/>
    <w:rsid w:val="004310AE"/>
    <w:rsid w:val="00433B43"/>
    <w:rsid w:val="004346F3"/>
    <w:rsid w:val="00435EB1"/>
    <w:rsid w:val="00442BC5"/>
    <w:rsid w:val="004446F6"/>
    <w:rsid w:val="004461A6"/>
    <w:rsid w:val="004473EB"/>
    <w:rsid w:val="00454D9D"/>
    <w:rsid w:val="00475F5C"/>
    <w:rsid w:val="00487EE6"/>
    <w:rsid w:val="004975F8"/>
    <w:rsid w:val="004A6D12"/>
    <w:rsid w:val="004B2574"/>
    <w:rsid w:val="004B487E"/>
    <w:rsid w:val="004B6538"/>
    <w:rsid w:val="004D3EA9"/>
    <w:rsid w:val="004E3B9A"/>
    <w:rsid w:val="004E571E"/>
    <w:rsid w:val="004E7FA6"/>
    <w:rsid w:val="004F3063"/>
    <w:rsid w:val="004F3201"/>
    <w:rsid w:val="004F464F"/>
    <w:rsid w:val="004F5CDD"/>
    <w:rsid w:val="0050038B"/>
    <w:rsid w:val="00506582"/>
    <w:rsid w:val="005108E7"/>
    <w:rsid w:val="005149F8"/>
    <w:rsid w:val="0052689C"/>
    <w:rsid w:val="005341EF"/>
    <w:rsid w:val="00536CFE"/>
    <w:rsid w:val="0054065D"/>
    <w:rsid w:val="0054410D"/>
    <w:rsid w:val="00550735"/>
    <w:rsid w:val="005575A8"/>
    <w:rsid w:val="0056154C"/>
    <w:rsid w:val="00566C30"/>
    <w:rsid w:val="00570F4D"/>
    <w:rsid w:val="00572CD7"/>
    <w:rsid w:val="00580262"/>
    <w:rsid w:val="00581FEF"/>
    <w:rsid w:val="005850FB"/>
    <w:rsid w:val="00586A47"/>
    <w:rsid w:val="005964C1"/>
    <w:rsid w:val="00596884"/>
    <w:rsid w:val="005A349C"/>
    <w:rsid w:val="005A495C"/>
    <w:rsid w:val="005B0CC9"/>
    <w:rsid w:val="005E0E98"/>
    <w:rsid w:val="005F4144"/>
    <w:rsid w:val="005F5C36"/>
    <w:rsid w:val="0060088F"/>
    <w:rsid w:val="00614B15"/>
    <w:rsid w:val="00615027"/>
    <w:rsid w:val="006152AF"/>
    <w:rsid w:val="0062102A"/>
    <w:rsid w:val="00622434"/>
    <w:rsid w:val="00636BB6"/>
    <w:rsid w:val="006430A1"/>
    <w:rsid w:val="00644BC9"/>
    <w:rsid w:val="00645EF5"/>
    <w:rsid w:val="00647B09"/>
    <w:rsid w:val="00647EC7"/>
    <w:rsid w:val="0065074E"/>
    <w:rsid w:val="00654B0D"/>
    <w:rsid w:val="00654D94"/>
    <w:rsid w:val="00654F2B"/>
    <w:rsid w:val="00662A3C"/>
    <w:rsid w:val="0066427A"/>
    <w:rsid w:val="006644C3"/>
    <w:rsid w:val="00667DC5"/>
    <w:rsid w:val="00675E28"/>
    <w:rsid w:val="00675F9B"/>
    <w:rsid w:val="00683DB4"/>
    <w:rsid w:val="00687433"/>
    <w:rsid w:val="006910AD"/>
    <w:rsid w:val="00691782"/>
    <w:rsid w:val="006956FC"/>
    <w:rsid w:val="006A23ED"/>
    <w:rsid w:val="006A48CE"/>
    <w:rsid w:val="006B6465"/>
    <w:rsid w:val="006D300F"/>
    <w:rsid w:val="006D3EB9"/>
    <w:rsid w:val="006D480C"/>
    <w:rsid w:val="006E0B6F"/>
    <w:rsid w:val="006E15E2"/>
    <w:rsid w:val="006E77E7"/>
    <w:rsid w:val="006F2531"/>
    <w:rsid w:val="006F4BB5"/>
    <w:rsid w:val="007029B5"/>
    <w:rsid w:val="00702F70"/>
    <w:rsid w:val="0071168D"/>
    <w:rsid w:val="0071586C"/>
    <w:rsid w:val="00725539"/>
    <w:rsid w:val="00727CBF"/>
    <w:rsid w:val="00734599"/>
    <w:rsid w:val="0073794D"/>
    <w:rsid w:val="00737B53"/>
    <w:rsid w:val="0074396B"/>
    <w:rsid w:val="00745C6E"/>
    <w:rsid w:val="007544E9"/>
    <w:rsid w:val="007613F7"/>
    <w:rsid w:val="00766C55"/>
    <w:rsid w:val="00766F74"/>
    <w:rsid w:val="00771DB2"/>
    <w:rsid w:val="0077699A"/>
    <w:rsid w:val="00781E42"/>
    <w:rsid w:val="00787397"/>
    <w:rsid w:val="00791348"/>
    <w:rsid w:val="007919CF"/>
    <w:rsid w:val="00792E39"/>
    <w:rsid w:val="007A34D0"/>
    <w:rsid w:val="007A4775"/>
    <w:rsid w:val="007A786A"/>
    <w:rsid w:val="007B1898"/>
    <w:rsid w:val="007C00F9"/>
    <w:rsid w:val="007C782E"/>
    <w:rsid w:val="007D0A13"/>
    <w:rsid w:val="007E6E53"/>
    <w:rsid w:val="007E6F0C"/>
    <w:rsid w:val="007F1D63"/>
    <w:rsid w:val="007F22E1"/>
    <w:rsid w:val="007F7881"/>
    <w:rsid w:val="00806993"/>
    <w:rsid w:val="00811B47"/>
    <w:rsid w:val="00821AEB"/>
    <w:rsid w:val="00841654"/>
    <w:rsid w:val="00841DA8"/>
    <w:rsid w:val="00850718"/>
    <w:rsid w:val="00854458"/>
    <w:rsid w:val="00854B3E"/>
    <w:rsid w:val="0086222A"/>
    <w:rsid w:val="008652E4"/>
    <w:rsid w:val="00867416"/>
    <w:rsid w:val="00867817"/>
    <w:rsid w:val="008749CB"/>
    <w:rsid w:val="00877782"/>
    <w:rsid w:val="00881608"/>
    <w:rsid w:val="00892672"/>
    <w:rsid w:val="008A4424"/>
    <w:rsid w:val="008B17E2"/>
    <w:rsid w:val="008C10D6"/>
    <w:rsid w:val="008C3569"/>
    <w:rsid w:val="008D1EB3"/>
    <w:rsid w:val="008D3F6C"/>
    <w:rsid w:val="008E3596"/>
    <w:rsid w:val="008F06E7"/>
    <w:rsid w:val="008F1EC7"/>
    <w:rsid w:val="008F4740"/>
    <w:rsid w:val="00902045"/>
    <w:rsid w:val="0090357B"/>
    <w:rsid w:val="00906576"/>
    <w:rsid w:val="00911B4B"/>
    <w:rsid w:val="0093120D"/>
    <w:rsid w:val="00936904"/>
    <w:rsid w:val="00937419"/>
    <w:rsid w:val="009470E7"/>
    <w:rsid w:val="00947D96"/>
    <w:rsid w:val="009620E1"/>
    <w:rsid w:val="00965537"/>
    <w:rsid w:val="0096604F"/>
    <w:rsid w:val="00971520"/>
    <w:rsid w:val="00972310"/>
    <w:rsid w:val="009770B7"/>
    <w:rsid w:val="0098415C"/>
    <w:rsid w:val="00987C84"/>
    <w:rsid w:val="00993CBF"/>
    <w:rsid w:val="0099585A"/>
    <w:rsid w:val="00997997"/>
    <w:rsid w:val="009A1BEA"/>
    <w:rsid w:val="009A68A2"/>
    <w:rsid w:val="009B3D88"/>
    <w:rsid w:val="009C20A1"/>
    <w:rsid w:val="009C2799"/>
    <w:rsid w:val="009C3C1E"/>
    <w:rsid w:val="009D275A"/>
    <w:rsid w:val="009D427F"/>
    <w:rsid w:val="009F2C97"/>
    <w:rsid w:val="00A11951"/>
    <w:rsid w:val="00A35C88"/>
    <w:rsid w:val="00A36F16"/>
    <w:rsid w:val="00A4259D"/>
    <w:rsid w:val="00A51431"/>
    <w:rsid w:val="00A57C8F"/>
    <w:rsid w:val="00A631DE"/>
    <w:rsid w:val="00A70188"/>
    <w:rsid w:val="00A81976"/>
    <w:rsid w:val="00A85216"/>
    <w:rsid w:val="00A90FD3"/>
    <w:rsid w:val="00A920C4"/>
    <w:rsid w:val="00AA15FE"/>
    <w:rsid w:val="00AA29FC"/>
    <w:rsid w:val="00AB15F1"/>
    <w:rsid w:val="00AC30C1"/>
    <w:rsid w:val="00AC476E"/>
    <w:rsid w:val="00AC526D"/>
    <w:rsid w:val="00AC5E4E"/>
    <w:rsid w:val="00AD091F"/>
    <w:rsid w:val="00AD1F08"/>
    <w:rsid w:val="00AE1CCD"/>
    <w:rsid w:val="00AE694D"/>
    <w:rsid w:val="00AE7D40"/>
    <w:rsid w:val="00AF1840"/>
    <w:rsid w:val="00AF4008"/>
    <w:rsid w:val="00AF4B34"/>
    <w:rsid w:val="00B04219"/>
    <w:rsid w:val="00B06D62"/>
    <w:rsid w:val="00B079A9"/>
    <w:rsid w:val="00B116F9"/>
    <w:rsid w:val="00B12B58"/>
    <w:rsid w:val="00B153F1"/>
    <w:rsid w:val="00B23772"/>
    <w:rsid w:val="00B24CB9"/>
    <w:rsid w:val="00B2599A"/>
    <w:rsid w:val="00B33B0A"/>
    <w:rsid w:val="00B414D0"/>
    <w:rsid w:val="00B41E31"/>
    <w:rsid w:val="00B472F0"/>
    <w:rsid w:val="00B50E07"/>
    <w:rsid w:val="00B71F5D"/>
    <w:rsid w:val="00B925DE"/>
    <w:rsid w:val="00BB583B"/>
    <w:rsid w:val="00BB59A5"/>
    <w:rsid w:val="00BC5F37"/>
    <w:rsid w:val="00BD3A50"/>
    <w:rsid w:val="00C16985"/>
    <w:rsid w:val="00C23D35"/>
    <w:rsid w:val="00C26F95"/>
    <w:rsid w:val="00C32A63"/>
    <w:rsid w:val="00C33A98"/>
    <w:rsid w:val="00C416FF"/>
    <w:rsid w:val="00C4440F"/>
    <w:rsid w:val="00C44BE2"/>
    <w:rsid w:val="00C466CF"/>
    <w:rsid w:val="00C5491A"/>
    <w:rsid w:val="00C63258"/>
    <w:rsid w:val="00C64342"/>
    <w:rsid w:val="00C65637"/>
    <w:rsid w:val="00C65EEC"/>
    <w:rsid w:val="00C751AF"/>
    <w:rsid w:val="00C85F1B"/>
    <w:rsid w:val="00C87599"/>
    <w:rsid w:val="00C876F3"/>
    <w:rsid w:val="00CA04EC"/>
    <w:rsid w:val="00CA4D8C"/>
    <w:rsid w:val="00CB1466"/>
    <w:rsid w:val="00CB1F8F"/>
    <w:rsid w:val="00CC4C6E"/>
    <w:rsid w:val="00CD2226"/>
    <w:rsid w:val="00CD33B4"/>
    <w:rsid w:val="00CD4DE8"/>
    <w:rsid w:val="00CF607A"/>
    <w:rsid w:val="00CF6E83"/>
    <w:rsid w:val="00D016AC"/>
    <w:rsid w:val="00D021F5"/>
    <w:rsid w:val="00D06778"/>
    <w:rsid w:val="00D07BD7"/>
    <w:rsid w:val="00D121A6"/>
    <w:rsid w:val="00D13BD9"/>
    <w:rsid w:val="00D16048"/>
    <w:rsid w:val="00D175DB"/>
    <w:rsid w:val="00D177BD"/>
    <w:rsid w:val="00D241E3"/>
    <w:rsid w:val="00D43329"/>
    <w:rsid w:val="00D4359F"/>
    <w:rsid w:val="00D44DE7"/>
    <w:rsid w:val="00D50874"/>
    <w:rsid w:val="00D53B17"/>
    <w:rsid w:val="00D61E61"/>
    <w:rsid w:val="00D632D1"/>
    <w:rsid w:val="00D663FA"/>
    <w:rsid w:val="00D749F4"/>
    <w:rsid w:val="00D8186D"/>
    <w:rsid w:val="00D85142"/>
    <w:rsid w:val="00D86685"/>
    <w:rsid w:val="00D86A38"/>
    <w:rsid w:val="00D86D2C"/>
    <w:rsid w:val="00D91E66"/>
    <w:rsid w:val="00D9369D"/>
    <w:rsid w:val="00DB49FD"/>
    <w:rsid w:val="00DB5E88"/>
    <w:rsid w:val="00DC0320"/>
    <w:rsid w:val="00DC114B"/>
    <w:rsid w:val="00DC35E2"/>
    <w:rsid w:val="00DC50FD"/>
    <w:rsid w:val="00DE0712"/>
    <w:rsid w:val="00DE170D"/>
    <w:rsid w:val="00DE4700"/>
    <w:rsid w:val="00DE6C23"/>
    <w:rsid w:val="00DF0ED8"/>
    <w:rsid w:val="00DF349A"/>
    <w:rsid w:val="00DF4F82"/>
    <w:rsid w:val="00E035F7"/>
    <w:rsid w:val="00E176DB"/>
    <w:rsid w:val="00E208E8"/>
    <w:rsid w:val="00E37A0E"/>
    <w:rsid w:val="00E420F9"/>
    <w:rsid w:val="00E523B3"/>
    <w:rsid w:val="00E53DA3"/>
    <w:rsid w:val="00E54939"/>
    <w:rsid w:val="00E56446"/>
    <w:rsid w:val="00E619F7"/>
    <w:rsid w:val="00E71122"/>
    <w:rsid w:val="00E77047"/>
    <w:rsid w:val="00E85C79"/>
    <w:rsid w:val="00E9028A"/>
    <w:rsid w:val="00EA556B"/>
    <w:rsid w:val="00EA664D"/>
    <w:rsid w:val="00EB54FF"/>
    <w:rsid w:val="00EC7493"/>
    <w:rsid w:val="00ED09C1"/>
    <w:rsid w:val="00ED6840"/>
    <w:rsid w:val="00EE0139"/>
    <w:rsid w:val="00EE1CD7"/>
    <w:rsid w:val="00EE2769"/>
    <w:rsid w:val="00EF2A91"/>
    <w:rsid w:val="00EF4AF4"/>
    <w:rsid w:val="00EF5F98"/>
    <w:rsid w:val="00F03598"/>
    <w:rsid w:val="00F20579"/>
    <w:rsid w:val="00F3277D"/>
    <w:rsid w:val="00F3285E"/>
    <w:rsid w:val="00F4653E"/>
    <w:rsid w:val="00F50564"/>
    <w:rsid w:val="00F50EB8"/>
    <w:rsid w:val="00F560B8"/>
    <w:rsid w:val="00F64061"/>
    <w:rsid w:val="00F70101"/>
    <w:rsid w:val="00F73CC6"/>
    <w:rsid w:val="00F913C6"/>
    <w:rsid w:val="00F97935"/>
    <w:rsid w:val="00FA42FA"/>
    <w:rsid w:val="00FB7D25"/>
    <w:rsid w:val="00FC6A4E"/>
    <w:rsid w:val="00FE2D97"/>
    <w:rsid w:val="00FF56E6"/>
    <w:rsid w:val="00FF5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2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82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">
    <w:name w:val="CH"/>
    <w:basedOn w:val="Normal"/>
    <w:rsid w:val="007C782E"/>
    <w:pPr>
      <w:widowControl w:val="0"/>
      <w:tabs>
        <w:tab w:val="right" w:pos="250"/>
        <w:tab w:val="left" w:pos="5120"/>
      </w:tabs>
      <w:suppressAutoHyphens/>
      <w:autoSpaceDE w:val="0"/>
      <w:autoSpaceDN w:val="0"/>
      <w:adjustRightInd w:val="0"/>
      <w:spacing w:before="160" w:after="0" w:line="220" w:lineRule="atLeast"/>
      <w:ind w:left="300" w:hanging="300"/>
      <w:textAlignment w:val="center"/>
    </w:pPr>
    <w:rPr>
      <w:rFonts w:ascii="FrutigerLTStd-Light" w:eastAsia="Cambria" w:hAnsi="FrutigerLTStd-Light" w:cs="FrutigerLTStd-Light"/>
      <w:color w:val="000000"/>
      <w:sz w:val="18"/>
      <w:szCs w:val="18"/>
    </w:rPr>
  </w:style>
  <w:style w:type="paragraph" w:customStyle="1" w:styleId="CH2">
    <w:name w:val="CH2"/>
    <w:basedOn w:val="Normal"/>
    <w:rsid w:val="007C782E"/>
    <w:pPr>
      <w:widowControl w:val="0"/>
      <w:tabs>
        <w:tab w:val="left" w:pos="5120"/>
      </w:tabs>
      <w:suppressAutoHyphens/>
      <w:autoSpaceDE w:val="0"/>
      <w:autoSpaceDN w:val="0"/>
      <w:adjustRightInd w:val="0"/>
      <w:spacing w:before="160" w:after="0" w:line="220" w:lineRule="atLeast"/>
      <w:textAlignment w:val="center"/>
    </w:pPr>
    <w:rPr>
      <w:rFonts w:ascii="FrutigerLTStd-LightItalic" w:eastAsia="Cambria" w:hAnsi="FrutigerLTStd-LightItalic" w:cs="FrutigerLTStd-LightItalic"/>
      <w:i/>
      <w:iCs/>
      <w:color w:val="000000"/>
      <w:sz w:val="18"/>
      <w:szCs w:val="18"/>
    </w:rPr>
  </w:style>
  <w:style w:type="character" w:customStyle="1" w:styleId="TableItalic">
    <w:name w:val="TableItalic"/>
    <w:rsid w:val="007C782E"/>
    <w:rPr>
      <w:rFonts w:ascii="FrutigerLTStd-LightItalic" w:hAnsi="FrutigerLTStd-LightItalic" w:cs="FrutigerLTStd-LightItalic"/>
      <w:i/>
      <w:iCs/>
    </w:rPr>
  </w:style>
  <w:style w:type="paragraph" w:customStyle="1" w:styleId="NoParagraphStyle">
    <w:name w:val="[No Paragraph Style]"/>
    <w:rsid w:val="007C782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LTStd-Black" w:eastAsia="Cambria" w:hAnsi="FrutigerLTStd-Black" w:cs="Tahom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35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F9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35"/>
    <w:rPr>
      <w:rFonts w:asciiTheme="minorHAnsi" w:hAnsiTheme="minorHAnsi" w:cstheme="minorBid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en-US" w:eastAsia="en-US" w:bidi="ar-SA"/>
      </w:rPr>
    </w:rPrDefault>
    <w:pPrDefault>
      <w:pPr>
        <w:spacing w:after="160" w:line="48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782E"/>
    <w:pPr>
      <w:spacing w:after="200" w:line="276" w:lineRule="auto"/>
    </w:pPr>
    <w:rPr>
      <w:rFonts w:asciiTheme="minorHAnsi" w:hAnsiTheme="minorHAnsi" w:cstheme="minorBid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7C782E"/>
    <w:pPr>
      <w:spacing w:after="0" w:line="240" w:lineRule="auto"/>
    </w:pPr>
    <w:rPr>
      <w:rFonts w:asciiTheme="minorHAnsi" w:hAnsiTheme="minorHAnsi" w:cstheme="minorBid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">
    <w:name w:val="CH"/>
    <w:basedOn w:val="Normal"/>
    <w:rsid w:val="007C782E"/>
    <w:pPr>
      <w:widowControl w:val="0"/>
      <w:tabs>
        <w:tab w:val="right" w:pos="250"/>
        <w:tab w:val="left" w:pos="5120"/>
      </w:tabs>
      <w:suppressAutoHyphens/>
      <w:autoSpaceDE w:val="0"/>
      <w:autoSpaceDN w:val="0"/>
      <w:adjustRightInd w:val="0"/>
      <w:spacing w:before="160" w:after="0" w:line="220" w:lineRule="atLeast"/>
      <w:ind w:left="300" w:hanging="300"/>
      <w:textAlignment w:val="center"/>
    </w:pPr>
    <w:rPr>
      <w:rFonts w:ascii="FrutigerLTStd-Light" w:eastAsia="Cambria" w:hAnsi="FrutigerLTStd-Light" w:cs="FrutigerLTStd-Light"/>
      <w:color w:val="000000"/>
      <w:sz w:val="18"/>
      <w:szCs w:val="18"/>
    </w:rPr>
  </w:style>
  <w:style w:type="paragraph" w:customStyle="1" w:styleId="CH2">
    <w:name w:val="CH2"/>
    <w:basedOn w:val="Normal"/>
    <w:rsid w:val="007C782E"/>
    <w:pPr>
      <w:widowControl w:val="0"/>
      <w:tabs>
        <w:tab w:val="left" w:pos="5120"/>
      </w:tabs>
      <w:suppressAutoHyphens/>
      <w:autoSpaceDE w:val="0"/>
      <w:autoSpaceDN w:val="0"/>
      <w:adjustRightInd w:val="0"/>
      <w:spacing w:before="160" w:after="0" w:line="220" w:lineRule="atLeast"/>
      <w:textAlignment w:val="center"/>
    </w:pPr>
    <w:rPr>
      <w:rFonts w:ascii="FrutigerLTStd-LightItalic" w:eastAsia="Cambria" w:hAnsi="FrutigerLTStd-LightItalic" w:cs="FrutigerLTStd-LightItalic"/>
      <w:i/>
      <w:iCs/>
      <w:color w:val="000000"/>
      <w:sz w:val="18"/>
      <w:szCs w:val="18"/>
    </w:rPr>
  </w:style>
  <w:style w:type="character" w:customStyle="1" w:styleId="TableItalic">
    <w:name w:val="TableItalic"/>
    <w:rsid w:val="007C782E"/>
    <w:rPr>
      <w:rFonts w:ascii="FrutigerLTStd-LightItalic" w:hAnsi="FrutigerLTStd-LightItalic" w:cs="FrutigerLTStd-LightItalic"/>
      <w:i/>
      <w:iCs/>
    </w:rPr>
  </w:style>
  <w:style w:type="paragraph" w:customStyle="1" w:styleId="NoParagraphStyle">
    <w:name w:val="[No Paragraph Style]"/>
    <w:rsid w:val="007C782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FrutigerLTStd-Black" w:eastAsia="Cambria" w:hAnsi="FrutigerLTStd-Black" w:cs="Tahoma"/>
      <w:color w:val="000000"/>
      <w:szCs w:val="24"/>
    </w:rPr>
  </w:style>
  <w:style w:type="paragraph" w:styleId="Header">
    <w:name w:val="header"/>
    <w:basedOn w:val="Normal"/>
    <w:link w:val="HeaderChar"/>
    <w:uiPriority w:val="99"/>
    <w:unhideWhenUsed/>
    <w:rsid w:val="00F9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97935"/>
    <w:rPr>
      <w:rFonts w:asciiTheme="minorHAnsi" w:hAnsiTheme="minorHAnsi" w:cstheme="minorBidi"/>
      <w:sz w:val="22"/>
    </w:rPr>
  </w:style>
  <w:style w:type="paragraph" w:styleId="Footer">
    <w:name w:val="footer"/>
    <w:basedOn w:val="Normal"/>
    <w:link w:val="FooterChar"/>
    <w:uiPriority w:val="99"/>
    <w:unhideWhenUsed/>
    <w:rsid w:val="00F9793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97935"/>
    <w:rPr>
      <w:rFonts w:asciiTheme="minorHAnsi" w:hAnsiTheme="minorHAnsi" w:cstheme="minorBid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991</Words>
  <Characters>5652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6630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epistemologeekgmail</dc:creator>
  <cp:lastModifiedBy>toyin ariyo</cp:lastModifiedBy>
  <cp:revision>2</cp:revision>
  <dcterms:created xsi:type="dcterms:W3CDTF">2016-08-25T01:34:00Z</dcterms:created>
  <dcterms:modified xsi:type="dcterms:W3CDTF">2016-08-25T01:34:00Z</dcterms:modified>
</cp:coreProperties>
</file>